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966E7">
      <w:pPr>
        <w:spacing w:before="0" w:after="0"/>
        <w:rPr>
          <w:vanish/>
        </w:rPr>
      </w:pPr>
      <w:bookmarkStart w:id="0" w:name="_GoBack"/>
      <w:bookmarkEnd w:id="0"/>
    </w:p>
    <w:tbl>
      <w:tblPr>
        <w:tblStyle w:val="3"/>
        <w:tblW w:w="10065" w:type="dxa"/>
        <w:tblInd w:w="-426" w:type="dxa"/>
        <w:tblLayout w:type="autofit"/>
        <w:tblCellMar>
          <w:top w:w="0" w:type="dxa"/>
          <w:left w:w="108" w:type="dxa"/>
          <w:bottom w:w="0" w:type="dxa"/>
          <w:right w:w="108" w:type="dxa"/>
        </w:tblCellMar>
      </w:tblPr>
      <w:tblGrid>
        <w:gridCol w:w="5058"/>
        <w:gridCol w:w="5007"/>
      </w:tblGrid>
      <w:tr w14:paraId="54DCDB34">
        <w:tblPrEx>
          <w:tblCellMar>
            <w:top w:w="0" w:type="dxa"/>
            <w:left w:w="108" w:type="dxa"/>
            <w:bottom w:w="0" w:type="dxa"/>
            <w:right w:w="108" w:type="dxa"/>
          </w:tblCellMar>
        </w:tblPrEx>
        <w:trPr>
          <w:wBefore w:w="0" w:type="dxa"/>
          <w:trHeight w:val="900" w:hRule="atLeast"/>
        </w:trPr>
        <w:tc>
          <w:tcPr>
            <w:tcW w:w="5058" w:type="dxa"/>
            <w:shd w:val="clear" w:color="auto" w:fill="auto"/>
            <w:noWrap w:val="0"/>
            <w:tcMar>
              <w:left w:w="0" w:type="dxa"/>
              <w:right w:w="0" w:type="dxa"/>
            </w:tcMar>
            <w:vAlign w:val="top"/>
          </w:tcPr>
          <w:p w14:paraId="4469B529">
            <w:pPr>
              <w:spacing w:before="120" w:after="0" w:line="276" w:lineRule="auto"/>
              <w:jc w:val="center"/>
              <w:rPr>
                <w:rFonts w:ascii="Times New Roman" w:hAnsi="Times New Roman"/>
                <w:sz w:val="24"/>
                <w:szCs w:val="24"/>
              </w:rPr>
            </w:pPr>
            <w:r>
              <w:rPr>
                <w:rFonts w:ascii="Times New Roman" w:hAnsi="Times New Roman"/>
                <w:sz w:val="24"/>
                <w:szCs w:val="24"/>
              </w:rPr>
              <w:t>TỔNG CÔNG TY XI  MĂNG VIỆT NAM</w:t>
            </w:r>
          </w:p>
          <w:p w14:paraId="31F10D56">
            <w:pPr>
              <w:spacing w:before="0" w:after="0" w:line="276" w:lineRule="auto"/>
              <w:jc w:val="center"/>
              <w:rPr>
                <w:rFonts w:ascii="Times New Roman" w:hAnsi="Times New Roman"/>
                <w:spacing w:val="-8"/>
                <w:sz w:val="24"/>
                <w:szCs w:val="24"/>
              </w:rPr>
            </w:pPr>
            <w:r>
              <w:rPr>
                <w:rFonts w:ascii="Times New Roman" w:hAnsi="Times New Roman"/>
                <w:sz w:val="24"/>
                <w:szCs w:val="24"/>
                <w:lang/>
              </w:rPr>
              <mc:AlternateContent>
                <mc:Choice Requires="wps">
                  <w:drawing>
                    <wp:anchor distT="0" distB="0" distL="114300" distR="114300" simplePos="0" relativeHeight="251661312" behindDoc="0" locked="0" layoutInCell="1" allowOverlap="1">
                      <wp:simplePos x="0" y="0"/>
                      <wp:positionH relativeFrom="column">
                        <wp:posOffset>1028700</wp:posOffset>
                      </wp:positionH>
                      <wp:positionV relativeFrom="paragraph">
                        <wp:posOffset>239395</wp:posOffset>
                      </wp:positionV>
                      <wp:extent cx="1200150" cy="0"/>
                      <wp:effectExtent l="0" t="4445" r="0" b="5080"/>
                      <wp:wrapNone/>
                      <wp:docPr id="7" name="Straight Arrow Connector 7"/>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81pt;margin-top:18.85pt;height:0pt;width:94.5pt;z-index:251661312;mso-width-relative:page;mso-height-relative:page;" filled="f" stroked="t" coordsize="21600,21600" o:gfxdata="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JbV2L1gAAAAkBAAAPAAAA&#10;AAAAAAEAIAAAACIAAABkcnMvZG93bnJldi54bWxQSwECFAAUAAAACACHTuJAE1QeLt4BAADPAwAA&#10;DgAAAAAAAAABACAAAAAlAQAAZHJzL2Uyb0RvYy54bWxQSwUGAAAAAAYABgBZAQAAdQUAAAAA&#10;">
                      <v:fill on="f" focussize="0,0"/>
                      <v:stroke color="#000000" joinstyle="round"/>
                      <v:imagedata o:title=""/>
                      <o:lock v:ext="edit" aspectratio="f"/>
                    </v:shape>
                  </w:pict>
                </mc:Fallback>
              </mc:AlternateContent>
            </w:r>
            <w:r>
              <w:rPr>
                <w:rFonts w:ascii="Times New Roman" w:hAnsi="Times New Roman"/>
                <w:b/>
                <w:spacing w:val="-8"/>
                <w:sz w:val="24"/>
                <w:szCs w:val="24"/>
              </w:rPr>
              <w:t>CÔNG TY CP VICEM VLXD ĐÀ NẴNG</w:t>
            </w:r>
          </w:p>
        </w:tc>
        <w:tc>
          <w:tcPr>
            <w:tcW w:w="5007" w:type="dxa"/>
            <w:shd w:val="clear" w:color="auto" w:fill="auto"/>
            <w:noWrap w:val="0"/>
            <w:tcMar>
              <w:left w:w="0" w:type="dxa"/>
              <w:right w:w="0" w:type="dxa"/>
            </w:tcMar>
            <w:vAlign w:val="top"/>
          </w:tcPr>
          <w:p w14:paraId="65F1749E">
            <w:pPr>
              <w:spacing w:before="120" w:after="0" w:line="276" w:lineRule="auto"/>
              <w:jc w:val="center"/>
              <w:rPr>
                <w:rFonts w:ascii="Times New Roman" w:hAnsi="Times New Roman"/>
                <w:b/>
                <w:spacing w:val="-8"/>
                <w:sz w:val="24"/>
                <w:szCs w:val="24"/>
              </w:rPr>
            </w:pPr>
            <w:r>
              <w:rPr>
                <w:rFonts w:ascii="Times New Roman" w:hAnsi="Times New Roman"/>
                <w:b/>
                <w:spacing w:val="-8"/>
                <w:sz w:val="24"/>
                <w:szCs w:val="24"/>
              </w:rPr>
              <w:t>CỘNG HÒA XÃ HỘI CHỦ NGHĨA VIỆT NAM</w:t>
            </w:r>
          </w:p>
          <w:p w14:paraId="0C403E0A">
            <w:pPr>
              <w:spacing w:before="0" w:after="0" w:line="276" w:lineRule="auto"/>
              <w:jc w:val="center"/>
              <w:rPr>
                <w:rFonts w:ascii="Times New Roman" w:hAnsi="Times New Roman"/>
                <w:sz w:val="24"/>
                <w:szCs w:val="24"/>
              </w:rPr>
            </w:pPr>
            <w:r>
              <w:rPr>
                <w:rFonts w:ascii="Times New Roman" w:hAnsi="Times New Roman"/>
                <w:sz w:val="24"/>
                <w:szCs w:val="24"/>
                <w:lang/>
              </w:rPr>
              <mc:AlternateContent>
                <mc:Choice Requires="wps">
                  <w:drawing>
                    <wp:anchor distT="0" distB="0" distL="114300" distR="114300" simplePos="0" relativeHeight="251660288" behindDoc="0" locked="0" layoutInCell="1" allowOverlap="1">
                      <wp:simplePos x="0" y="0"/>
                      <wp:positionH relativeFrom="column">
                        <wp:posOffset>549910</wp:posOffset>
                      </wp:positionH>
                      <wp:positionV relativeFrom="paragraph">
                        <wp:posOffset>212090</wp:posOffset>
                      </wp:positionV>
                      <wp:extent cx="2052320" cy="0"/>
                      <wp:effectExtent l="0" t="4445" r="0" b="5080"/>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2052320"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43.3pt;margin-top:16.7pt;height:0pt;width:161.6pt;z-index:251660288;mso-width-relative:page;mso-height-relative:page;" filled="f" stroked="t" coordsize="21600,21600" o:gfxdata="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9NSBINcAAAAIAQAADwAA&#10;AAAAAAABACAAAAAiAAAAZHJzL2Rvd25yZXYueG1sUEsBAhQAFAAAAAgAh07iQDI51CLeAQAAzwMA&#10;AA4AAAAAAAAAAQAgAAAAJgEAAGRycy9lMm9Eb2MueG1sUEsFBgAAAAAGAAYAWQEAAHYFAAAAAA==&#10;">
                      <v:fill on="f" focussize="0,0"/>
                      <v:stroke color="#000000" joinstyle="round"/>
                      <v:imagedata o:title=""/>
                      <o:lock v:ext="edit" aspectratio="f"/>
                    </v:shape>
                  </w:pict>
                </mc:Fallback>
              </mc:AlternateContent>
            </w:r>
            <w:r>
              <w:rPr>
                <w:rFonts w:ascii="Times New Roman" w:hAnsi="Times New Roman"/>
                <w:b/>
                <w:sz w:val="24"/>
                <w:szCs w:val="24"/>
              </w:rPr>
              <w:t>Độc lập – Tự do – Hạnh phúc</w:t>
            </w:r>
          </w:p>
        </w:tc>
      </w:tr>
      <w:tr w14:paraId="7ABCFD4F">
        <w:tblPrEx>
          <w:tblCellMar>
            <w:top w:w="0" w:type="dxa"/>
            <w:left w:w="108" w:type="dxa"/>
            <w:bottom w:w="0" w:type="dxa"/>
            <w:right w:w="108" w:type="dxa"/>
          </w:tblCellMar>
        </w:tblPrEx>
        <w:trPr>
          <w:wBefore w:w="0" w:type="dxa"/>
          <w:trHeight w:val="438" w:hRule="atLeast"/>
        </w:trPr>
        <w:tc>
          <w:tcPr>
            <w:tcW w:w="5058" w:type="dxa"/>
            <w:shd w:val="clear" w:color="auto" w:fill="auto"/>
            <w:noWrap w:val="0"/>
            <w:tcMar>
              <w:left w:w="0" w:type="dxa"/>
              <w:right w:w="0" w:type="dxa"/>
            </w:tcMar>
            <w:vAlign w:val="bottom"/>
          </w:tcPr>
          <w:p w14:paraId="3DFA724B">
            <w:pPr>
              <w:spacing w:line="276" w:lineRule="auto"/>
              <w:jc w:val="center"/>
              <w:rPr>
                <w:sz w:val="26"/>
                <w:szCs w:val="26"/>
              </w:rPr>
            </w:pPr>
          </w:p>
        </w:tc>
        <w:tc>
          <w:tcPr>
            <w:tcW w:w="5007" w:type="dxa"/>
            <w:shd w:val="clear" w:color="auto" w:fill="auto"/>
            <w:noWrap w:val="0"/>
            <w:tcMar>
              <w:left w:w="0" w:type="dxa"/>
              <w:right w:w="0" w:type="dxa"/>
            </w:tcMar>
            <w:vAlign w:val="bottom"/>
          </w:tcPr>
          <w:p w14:paraId="36C17DD6">
            <w:pPr>
              <w:spacing w:line="276" w:lineRule="auto"/>
              <w:jc w:val="center"/>
              <w:rPr>
                <w:rFonts w:ascii="Times New Roman" w:hAnsi="Times New Roman"/>
                <w:i/>
                <w:iCs/>
                <w:sz w:val="26"/>
                <w:szCs w:val="26"/>
              </w:rPr>
            </w:pPr>
            <w:r>
              <w:rPr>
                <w:rFonts w:ascii="Times New Roman" w:hAnsi="Times New Roman"/>
                <w:i/>
                <w:iCs/>
                <w:sz w:val="26"/>
                <w:szCs w:val="26"/>
              </w:rPr>
              <w:t xml:space="preserve"> Đà Nẵng, ngày </w:t>
            </w:r>
            <w:r>
              <w:rPr>
                <w:rFonts w:ascii="Times New Roman" w:hAnsi="Times New Roman"/>
                <w:b/>
                <w:i/>
                <w:iCs/>
                <w:sz w:val="26"/>
                <w:szCs w:val="26"/>
              </w:rPr>
              <w:t xml:space="preserve">      </w:t>
            </w:r>
            <w:r>
              <w:rPr>
                <w:rFonts w:ascii="Times New Roman" w:hAnsi="Times New Roman"/>
                <w:i/>
                <w:iCs/>
                <w:sz w:val="26"/>
                <w:szCs w:val="26"/>
              </w:rPr>
              <w:t>tháng</w:t>
            </w:r>
            <w:r>
              <w:rPr>
                <w:rFonts w:ascii="Times New Roman" w:hAnsi="Times New Roman"/>
                <w:b/>
                <w:i/>
                <w:iCs/>
                <w:sz w:val="26"/>
                <w:szCs w:val="26"/>
              </w:rPr>
              <w:t xml:space="preserve">    </w:t>
            </w:r>
            <w:r>
              <w:rPr>
                <w:rFonts w:ascii="Times New Roman" w:hAnsi="Times New Roman"/>
                <w:i/>
                <w:iCs/>
                <w:sz w:val="26"/>
                <w:szCs w:val="26"/>
              </w:rPr>
              <w:t xml:space="preserve"> năm 2026</w:t>
            </w:r>
          </w:p>
        </w:tc>
      </w:tr>
    </w:tbl>
    <w:p w14:paraId="6AEF2A32">
      <w:pPr>
        <w:autoSpaceDE w:val="0"/>
        <w:autoSpaceDN w:val="0"/>
        <w:adjustRightInd w:val="0"/>
        <w:spacing w:before="120" w:line="320" w:lineRule="atLeast"/>
        <w:jc w:val="center"/>
        <w:rPr>
          <w:rFonts w:ascii="Times New Roman" w:hAnsi="Times New Roman" w:eastAsia="Times New Roman"/>
          <w:b/>
          <w:bCs/>
          <w:sz w:val="30"/>
          <w:szCs w:val="24"/>
          <w:lang w:val="pt-BR"/>
        </w:rPr>
      </w:pPr>
    </w:p>
    <w:p w14:paraId="6A793071">
      <w:pPr>
        <w:autoSpaceDE w:val="0"/>
        <w:autoSpaceDN w:val="0"/>
        <w:adjustRightInd w:val="0"/>
        <w:spacing w:before="0" w:after="0" w:line="276" w:lineRule="auto"/>
        <w:jc w:val="center"/>
        <w:rPr>
          <w:rFonts w:ascii="Times New Roman" w:hAnsi="Times New Roman" w:eastAsia="Times New Roman"/>
          <w:b/>
          <w:color w:val="000000"/>
          <w:szCs w:val="28"/>
          <w:lang w:val="pt-BR"/>
        </w:rPr>
      </w:pPr>
      <w:r>
        <w:rPr>
          <w:rFonts w:ascii="Times New Roman" w:hAnsi="Times New Roman" w:eastAsia="Times New Roman"/>
          <w:b/>
          <w:color w:val="000000"/>
          <w:szCs w:val="28"/>
          <w:lang w:val="pt-BR"/>
        </w:rPr>
        <w:t>QUY CHẾ</w:t>
      </w:r>
    </w:p>
    <w:p w14:paraId="6C35D65A">
      <w:pPr>
        <w:autoSpaceDE w:val="0"/>
        <w:autoSpaceDN w:val="0"/>
        <w:adjustRightInd w:val="0"/>
        <w:spacing w:before="0" w:after="0" w:line="276" w:lineRule="auto"/>
        <w:jc w:val="center"/>
        <w:rPr>
          <w:rFonts w:ascii="Times New Roman" w:hAnsi="Times New Roman" w:eastAsia="Times New Roman"/>
          <w:b/>
          <w:color w:val="000000"/>
          <w:szCs w:val="28"/>
          <w:lang w:val="pt-BR"/>
        </w:rPr>
      </w:pPr>
      <w:r>
        <w:rPr>
          <w:rFonts w:ascii="Times New Roman" w:hAnsi="Times New Roman" w:eastAsia="Times New Roman"/>
          <w:b/>
          <w:color w:val="000000"/>
          <w:szCs w:val="28"/>
          <w:lang w:val="pt-BR"/>
        </w:rPr>
        <w:t>LÀM VIỆC TẠI ĐẠI HỘI ĐỒNG CỔ ĐÔNG THƯỜNG NIÊN NĂM 2026</w:t>
      </w:r>
    </w:p>
    <w:p w14:paraId="33A6EEF8">
      <w:pPr>
        <w:autoSpaceDE w:val="0"/>
        <w:autoSpaceDN w:val="0"/>
        <w:adjustRightInd w:val="0"/>
        <w:spacing w:before="0" w:after="0" w:line="276" w:lineRule="auto"/>
        <w:jc w:val="center"/>
        <w:rPr>
          <w:rFonts w:ascii="Times New Roman" w:hAnsi="Times New Roman" w:eastAsia="Times New Roman"/>
          <w:b/>
          <w:color w:val="000000"/>
          <w:szCs w:val="28"/>
          <w:lang w:val="pt-BR"/>
        </w:rPr>
      </w:pPr>
      <w:r>
        <w:rPr>
          <w:rFonts w:ascii="Times New Roman" w:hAnsi="Times New Roman" w:eastAsia="Times New Roman"/>
          <w:b/>
          <w:color w:val="000000"/>
          <w:szCs w:val="28"/>
        </w:rPr>
        <mc:AlternateContent>
          <mc:Choice Requires="wps">
            <w:drawing>
              <wp:anchor distT="0" distB="0" distL="114300" distR="114300" simplePos="0" relativeHeight="251659264" behindDoc="0" locked="0" layoutInCell="1" allowOverlap="1">
                <wp:simplePos x="0" y="0"/>
                <wp:positionH relativeFrom="column">
                  <wp:posOffset>2038350</wp:posOffset>
                </wp:positionH>
                <wp:positionV relativeFrom="paragraph">
                  <wp:posOffset>267335</wp:posOffset>
                </wp:positionV>
                <wp:extent cx="1938020" cy="0"/>
                <wp:effectExtent l="0" t="4445" r="0" b="5080"/>
                <wp:wrapNone/>
                <wp:docPr id="1" name="Lines 8"/>
                <wp:cNvGraphicFramePr/>
                <a:graphic xmlns:a="http://schemas.openxmlformats.org/drawingml/2006/main">
                  <a:graphicData uri="http://schemas.microsoft.com/office/word/2010/wordprocessingShape">
                    <wps:wsp>
                      <wps:cNvSpPr/>
                      <wps:spPr>
                        <a:xfrm>
                          <a:off x="0" y="0"/>
                          <a:ext cx="193802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s 8" o:spid="_x0000_s1026" o:spt="20" style="position:absolute;left:0pt;margin-left:160.5pt;margin-top:21.05pt;height:0pt;width:152.6pt;z-index:251659264;mso-width-relative:page;mso-height-relative:page;" filled="f" stroked="t" coordsize="21600,21600" o:gfxdata="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ynzCHWAAAACQEAAA8AAAAAAAAA&#10;AQAgAAAAIgAAAGRycy9kb3ducmV2LnhtbFBLAQIUABQAAAAIAIdO4kDDo5KQ2gEAANoDAAAOAAAA&#10;AAAAAAEAIAAAACUBAABkcnMvZTJvRG9jLnhtbFBLBQYAAAAABgAGAFkBAABxBQAAAAA=&#10;">
                <v:fill on="f" focussize="0,0"/>
                <v:stroke color="#000000" joinstyle="round"/>
                <v:imagedata o:title=""/>
                <o:lock v:ext="edit" aspectratio="f"/>
              </v:line>
            </w:pict>
          </mc:Fallback>
        </mc:AlternateContent>
      </w:r>
      <w:r>
        <w:rPr>
          <w:rFonts w:ascii="Times New Roman" w:hAnsi="Times New Roman" w:eastAsia="Times New Roman"/>
          <w:b/>
          <w:color w:val="000000"/>
          <w:szCs w:val="28"/>
          <w:lang w:val="pt-BR"/>
        </w:rPr>
        <w:t>CÔNG TY CỔ PHẦN VICEM VẬT LIỆU XÂY DỰNG ĐÀ NẴNG</w:t>
      </w:r>
    </w:p>
    <w:p w14:paraId="71A73CF2">
      <w:pPr>
        <w:spacing w:before="120" w:after="0" w:line="320" w:lineRule="atLeast"/>
        <w:jc w:val="center"/>
        <w:rPr>
          <w:rFonts w:ascii="Times New Roman" w:hAnsi="Times New Roman" w:eastAsia="Times New Roman"/>
          <w:b/>
          <w:color w:val="000000"/>
          <w:szCs w:val="28"/>
          <w:lang w:val="pt-BR"/>
        </w:rPr>
      </w:pPr>
    </w:p>
    <w:p w14:paraId="3C04BA27">
      <w:pPr>
        <w:spacing w:before="120" w:after="0" w:line="320" w:lineRule="atLeast"/>
        <w:jc w:val="center"/>
        <w:rPr>
          <w:rFonts w:ascii="Times New Roman" w:hAnsi="Times New Roman" w:eastAsia="Times New Roman"/>
          <w:b/>
          <w:color w:val="000000"/>
          <w:szCs w:val="28"/>
        </w:rPr>
      </w:pPr>
      <w:r>
        <w:rPr>
          <w:rFonts w:ascii="Times New Roman" w:hAnsi="Times New Roman" w:eastAsia="Times New Roman"/>
          <w:b/>
          <w:color w:val="000000"/>
          <w:szCs w:val="28"/>
        </w:rPr>
        <w:t>CHƯƠNG I: QUY ĐỊNH CHUNG</w:t>
      </w:r>
    </w:p>
    <w:p w14:paraId="1A4DB2E1">
      <w:pPr>
        <w:spacing w:before="120" w:line="320" w:lineRule="atLeast"/>
        <w:ind w:firstLine="720"/>
        <w:rPr>
          <w:rFonts w:ascii="Times New Roman" w:hAnsi="Times New Roman" w:eastAsia="Times New Roman"/>
          <w:b/>
          <w:color w:val="000000"/>
          <w:szCs w:val="28"/>
        </w:rPr>
      </w:pPr>
      <w:r>
        <w:rPr>
          <w:rFonts w:ascii="Times New Roman" w:hAnsi="Times New Roman" w:eastAsia="Times New Roman"/>
          <w:b/>
          <w:color w:val="000000"/>
          <w:szCs w:val="28"/>
        </w:rPr>
        <w:t>Điều 1: Quy định chung</w:t>
      </w:r>
    </w:p>
    <w:p w14:paraId="6C0D416E">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Quy chế này quy định quyền, nghĩa vụ của cổ đông, đại diện cổ đông; trách nhiệm của các chủ thể khi tham gia Đại hội cổ đông; cách thức thảo luận tại Đại hội cổ đông thường niên 2026 của Công ty Cổ phần Vicem vật liêu xây dựng Đà Nẵng (sau đây gọi tắt là “Đại hội”) nhằm đảm bảo Đại hội đạt kết quả.</w:t>
      </w:r>
    </w:p>
    <w:p w14:paraId="384D62F4">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2: Mục đích</w:t>
      </w:r>
    </w:p>
    <w:p w14:paraId="05C8CCE8">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Quy định này nhằm mục đích đảm bảo cho Đại hội được tiến hành đúng trình tự và thủ tục luật định và phù hợp với quy định của pháp luật; đảm bảo cho Đại hội được tiến hành trong trật tự, an toàn, đúng thời gian trong chương trình nghị sự của Đại hội; đảm bảo cho các cổ đông thực thi các quyền và lợi ích hợp pháp của mình một cách dân chủ, bình đẳng và đoàn kết, phản ánh được mong muốn của đa số người tham dự vì quyền lợi của cổ đông và đáp ứng nhu cầu phát triển bền vững Công ty.</w:t>
      </w:r>
    </w:p>
    <w:p w14:paraId="4ABAB571">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3: Chương trình nghị sự</w:t>
      </w:r>
    </w:p>
    <w:p w14:paraId="1D01F8A2">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1. Chương trình nghị sự của Đại hội được gửi trước cho các cổ đông kèm theo Thư mời họp.</w:t>
      </w:r>
    </w:p>
    <w:p w14:paraId="5BBEBD81">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2. Cổ đông hoặc nhóm cổ đông sở hữu từ 10% trở lên tổng số cổ phần phổ thông có quyền kiến nghị vấn đề đưa vào chương trình họp Đại hội. Kiến nghị phải bằng văn bản và được gửi đến Công ty chậm nhất 03 ngày làm việc trước ngày khai mạc Đại hội (cụ thể là trước 16 giờ ngày 17/4/2026). Kiến nghị phải ghi rõ: tên cổ đông, số lượng từng loại cổ phần của cổ đông, mã số cổ đông, vấn đề kiến nghị đưa vào chương trình họp.</w:t>
      </w:r>
    </w:p>
    <w:p w14:paraId="6ED4E9A0">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Người triệu tập họp Đại hội đồng cổ đông chấp nhận và đưa các kiến nghị này vào dự kiến chương trình và nội dung cuộc họp, trừ trường hợp kiến nghị được gửi đến không đúng thời hạn hoặc không đủ, không đúng nội dung hoặc vấn đề kiến nghị không thuộc thẩm quyền quyết định của Đại hội đồng cổ đông.</w:t>
      </w:r>
    </w:p>
    <w:p w14:paraId="6737FC4F">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3. Chương trình và nội dung Đại hội phải được Đại hội đồng cổ đông thông qua ngay trong phiên khai mạc Đại hội.</w:t>
      </w:r>
    </w:p>
    <w:p w14:paraId="13815164">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4: Nghĩa vụ của Cổ đông tại Đại hội</w:t>
      </w:r>
    </w:p>
    <w:p w14:paraId="732A6DAB">
      <w:pPr>
        <w:tabs>
          <w:tab w:val="right" w:pos="9356"/>
        </w:tabs>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Cổ đông khi tham dự Đại hội phải tuân thủ các quy định sau đây</w:t>
      </w:r>
      <w:r>
        <w:rPr>
          <w:rFonts w:ascii="Times New Roman" w:hAnsi="Times New Roman" w:eastAsia="Times New Roman"/>
          <w:color w:val="000000"/>
          <w:szCs w:val="28"/>
        </w:rPr>
        <w:tab/>
      </w:r>
    </w:p>
    <w:p w14:paraId="45D79685">
      <w:pPr>
        <w:numPr>
          <w:ilvl w:val="0"/>
          <w:numId w:val="1"/>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Mặc trang phục chỉnh tề, lịch sự</w:t>
      </w:r>
    </w:p>
    <w:p w14:paraId="20BA0F9D">
      <w:pPr>
        <w:numPr>
          <w:ilvl w:val="0"/>
          <w:numId w:val="1"/>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Xuất trình đầy đủ giấy tờ tùy thân, thư mời họp và các giấy tờ liên quan đến việc xác minh tư cách đại biểu tại bàn tiếp đón.</w:t>
      </w:r>
    </w:p>
    <w:p w14:paraId="79262773">
      <w:pPr>
        <w:numPr>
          <w:ilvl w:val="0"/>
          <w:numId w:val="1"/>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Giữ trật tự và tư cách nghiêm túc trong giờ họp</w:t>
      </w:r>
    </w:p>
    <w:p w14:paraId="5E11E3B3">
      <w:pPr>
        <w:numPr>
          <w:ilvl w:val="0"/>
          <w:numId w:val="1"/>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Không hút thuốc lá, không nói chuyện riêng, không sử dụng điện thoại di động trong Hội trường (tắt máy hoặc để chế độ im lặng)</w:t>
      </w:r>
    </w:p>
    <w:p w14:paraId="36692354">
      <w:pPr>
        <w:numPr>
          <w:ilvl w:val="0"/>
          <w:numId w:val="1"/>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 xml:space="preserve">Giao tiếp hòa nhã, thân thiện; không được bỏ về giữa giờ khi chưa có sự đồng ý của chủ tọa Đại hội </w:t>
      </w:r>
    </w:p>
    <w:p w14:paraId="13D1A69B">
      <w:pPr>
        <w:numPr>
          <w:ilvl w:val="0"/>
          <w:numId w:val="1"/>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Phải ngồi đúng vị trí hoặc khu vực do Ban Tổ chức đại hội quy định và tuyệt đối tuân thủ việc sắp xếp vị trí của Ban Tổ chức.</w:t>
      </w:r>
    </w:p>
    <w:p w14:paraId="606644F3">
      <w:pPr>
        <w:numPr>
          <w:ilvl w:val="0"/>
          <w:numId w:val="1"/>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Tuyệt đối tuân thủ sự điều hành của chủ tọa, chỉ được phát biểu khi có sự đồng ý của chủ tọa.</w:t>
      </w:r>
    </w:p>
    <w:p w14:paraId="1F03D142">
      <w:pPr>
        <w:spacing w:line="320" w:lineRule="atLeast"/>
        <w:ind w:firstLine="720"/>
        <w:jc w:val="center"/>
        <w:rPr>
          <w:rFonts w:ascii="Times New Roman" w:hAnsi="Times New Roman" w:eastAsia="Times New Roman"/>
          <w:b/>
          <w:color w:val="000000"/>
          <w:szCs w:val="28"/>
        </w:rPr>
      </w:pPr>
      <w:r>
        <w:rPr>
          <w:rFonts w:ascii="Times New Roman" w:hAnsi="Times New Roman" w:eastAsia="Times New Roman"/>
          <w:b/>
          <w:color w:val="000000"/>
          <w:szCs w:val="28"/>
        </w:rPr>
        <w:t>CHƯƠNG II: TỔ CHỨC ĐẠI HỘI</w:t>
      </w:r>
    </w:p>
    <w:p w14:paraId="2ED8B9D0">
      <w:pPr>
        <w:spacing w:line="320" w:lineRule="atLeast"/>
        <w:ind w:firstLine="720"/>
        <w:rPr>
          <w:rFonts w:ascii="Times New Roman" w:hAnsi="Times New Roman" w:eastAsia="Times New Roman"/>
          <w:b/>
          <w:color w:val="000000"/>
          <w:szCs w:val="28"/>
        </w:rPr>
      </w:pPr>
      <w:r>
        <w:rPr>
          <w:rFonts w:ascii="Times New Roman" w:hAnsi="Times New Roman" w:eastAsia="Times New Roman"/>
          <w:b/>
          <w:color w:val="000000"/>
          <w:szCs w:val="28"/>
        </w:rPr>
        <w:t>Điều  5: Các vấn đề được Đại hội đồng cổ đông thông qua</w:t>
      </w:r>
    </w:p>
    <w:p w14:paraId="2620964B">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Đại hội cổ đông thường niên năm 2026 Công ty Cổ phần Vicem Vật liệu Xây dựng Đà Nẵng có quyền thảo luận và thông qua các vấn đề sau đây:</w:t>
      </w:r>
    </w:p>
    <w:p w14:paraId="05CB930B">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Báo cáo kết quả hoạt động SXKD 2025 và kế hoạch SXKD 2026;</w:t>
      </w:r>
    </w:p>
    <w:p w14:paraId="5857BB6D">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Báo cáo hoạt động của HĐQT năm 2025 và kế hoạch hoạt động 2026;</w:t>
      </w:r>
    </w:p>
    <w:p w14:paraId="17DD244E">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Báo cáo đánh giá của Thành viên độc lập  HĐQT năm 2025;</w:t>
      </w:r>
    </w:p>
    <w:p w14:paraId="41047DD0">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Báo cáo hoạt động của BKS năm 2025 và kế hoạch hoạt động 2026;</w:t>
      </w:r>
    </w:p>
    <w:p w14:paraId="1BEDE8CA">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Đọc Tờ trình phê duyệt BCTC kiểm toán năm 2025 và Phương án phân phối lợi nhuận năm 2025;</w:t>
      </w:r>
    </w:p>
    <w:p w14:paraId="5B11A03C">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Đọc Tờ trình chi trả thù lao HĐQT, BKS năm 2025 và Kế hoạch chi trả thù lao HĐQT; BKS năm 2026;</w:t>
      </w:r>
    </w:p>
    <w:p w14:paraId="12FC9EDE">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Đọc Tờ trình lựa chọn đơn vị kiểm toán BCTC năm 2026;</w:t>
      </w:r>
    </w:p>
    <w:p w14:paraId="4D581635">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Đọc Tờ trình về việc ký kết hợp đồng mua bán với bên có liên quan;</w:t>
      </w:r>
    </w:p>
    <w:p w14:paraId="688C72F8">
      <w:pPr>
        <w:numPr>
          <w:ilvl w:val="0"/>
          <w:numId w:val="2"/>
        </w:numPr>
        <w:spacing w:before="40" w:after="40" w:line="288" w:lineRule="auto"/>
        <w:ind w:left="1434" w:right="142" w:hanging="357"/>
        <w:jc w:val="both"/>
        <w:rPr>
          <w:rFonts w:ascii="Times New Roman" w:hAnsi="Times New Roman" w:eastAsia="Times New Roman"/>
          <w:color w:val="000000"/>
          <w:szCs w:val="28"/>
        </w:rPr>
      </w:pPr>
      <w:r>
        <w:rPr>
          <w:rFonts w:ascii="Times New Roman" w:hAnsi="Times New Roman" w:eastAsia="Times New Roman"/>
          <w:color w:val="000000"/>
          <w:szCs w:val="28"/>
        </w:rPr>
        <w:t>Đọc Tờ trình sửa đổi, bổ sung ngành nghề kinh doanh Công ty Cổ phần Vicem Vật liệu Xây dựng Đà Nẵng;</w:t>
      </w:r>
    </w:p>
    <w:p w14:paraId="5859C08D">
      <w:pPr>
        <w:spacing w:before="40" w:after="40" w:line="288" w:lineRule="auto"/>
        <w:ind w:left="1077" w:right="142"/>
        <w:jc w:val="both"/>
        <w:rPr>
          <w:rFonts w:ascii="Times New Roman" w:hAnsi="Times New Roman" w:eastAsia="Times New Roman"/>
          <w:color w:val="000000"/>
          <w:szCs w:val="28"/>
        </w:rPr>
      </w:pPr>
      <w:r>
        <w:rPr>
          <w:rFonts w:ascii="Times New Roman" w:hAnsi="Times New Roman" w:eastAsia="Times New Roman"/>
          <w:color w:val="000000"/>
          <w:szCs w:val="28"/>
        </w:rPr>
        <w:t>10)Đọc Tờ trình sửa đổi, bổ sung Điều lệ tổ chức và hoạt động Công ty.</w:t>
      </w:r>
    </w:p>
    <w:p w14:paraId="3B15B747">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6: Đoàn chủ tịch</w:t>
      </w:r>
    </w:p>
    <w:p w14:paraId="5B847AB5">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Điều hành Đại hội là Đoàn Chủ tịch, gồm có Chủ tịch (là Chủ tịch Hội đồng quản trị) và các thành viên do Chủ tịch giới thiệu, Chủ tịch là người chủ trì Đại hội (Chủ tọa). Đoàn Chủ tịch làm việc theo nguyên tắc tập trung dân chủ và phù hợp với các quy định của pháp luật và Điều lệ Công ty.</w:t>
      </w:r>
    </w:p>
    <w:p w14:paraId="10C2BE9F">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Đoàn Chủ tịch có trách nhiệm:</w:t>
      </w:r>
    </w:p>
    <w:p w14:paraId="5BBA5EB0">
      <w:pPr>
        <w:numPr>
          <w:ilvl w:val="0"/>
          <w:numId w:val="3"/>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 xml:space="preserve">Điều khiển Đại hội theo đúng nội dung chương trình nghị sự, các qui chế, thể lệ đã được Đại hội thông qua. </w:t>
      </w:r>
    </w:p>
    <w:p w14:paraId="385730CA">
      <w:pPr>
        <w:numPr>
          <w:ilvl w:val="0"/>
          <w:numId w:val="3"/>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Hướng dẫn Đại hội thảo luận, lấy ý kiến biểu quyết các vấn đề nằm trong nội dung chương trình nghị sự của Đại hội và các vấn đề có liên quan trong suốt quá trình Đại hội.</w:t>
      </w:r>
    </w:p>
    <w:p w14:paraId="6A6D2BFA">
      <w:pPr>
        <w:numPr>
          <w:ilvl w:val="0"/>
          <w:numId w:val="3"/>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Có quyền hoãn Đại hội khi đã có đủ số người đăng ký dự họp theo quy định đến một thời điểm khác hoặc thay đổi địa điểm họp trong trường hợp có người tham dự họp có hành vi cản trở, gây rối trật tự, có nguy cơ làm cho cuộc họp không được tiến hành một cách công bằng và hợp pháp.</w:t>
      </w:r>
    </w:p>
    <w:p w14:paraId="7EF11174">
      <w:pPr>
        <w:numPr>
          <w:ilvl w:val="0"/>
          <w:numId w:val="3"/>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Trả lời những vấn đề do Đại hội yêu cầu.</w:t>
      </w:r>
    </w:p>
    <w:p w14:paraId="43F291B0">
      <w:pPr>
        <w:numPr>
          <w:ilvl w:val="0"/>
          <w:numId w:val="3"/>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Giải quyết các vấn đề phát sinh (nếu có) trong quá trình diễn ra Đại hội.</w:t>
      </w:r>
    </w:p>
    <w:p w14:paraId="1897A98C">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7: Thư ký Đại hội</w:t>
      </w:r>
    </w:p>
    <w:p w14:paraId="4750FB49">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1. Giúp việc cho Đoàn Chủ tịch và Đại hội là Thư ký Đại hội. Thư ký Đại hội do Chủ tọa giới thiệu và được Đại hội biểu quyết tán thành.</w:t>
      </w:r>
    </w:p>
    <w:p w14:paraId="319272DB">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 xml:space="preserve">2. Thư ký có nhiệm vụ: </w:t>
      </w:r>
    </w:p>
    <w:p w14:paraId="710512F4">
      <w:pPr>
        <w:numPr>
          <w:ilvl w:val="0"/>
          <w:numId w:val="4"/>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Ghi chép đầy đủ và trung thực các nội dung của Đại hội.</w:t>
      </w:r>
    </w:p>
    <w:p w14:paraId="31F3F9B2">
      <w:pPr>
        <w:numPr>
          <w:ilvl w:val="0"/>
          <w:numId w:val="4"/>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Hỗ trợ Đoàn Chủ tịch công bố các văn kiện, kết luận hoặc thông báo gửi đến các cổ đông khi được yêu cầu.</w:t>
      </w:r>
    </w:p>
    <w:p w14:paraId="524B2DA7">
      <w:pPr>
        <w:numPr>
          <w:ilvl w:val="0"/>
          <w:numId w:val="4"/>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Chịu trách nhiệm trước Chủ tọa Đại hội và Đại hội đồng cổ đông về nhiệm vụ của mình; ghi chép đầy đủ, trung thực toàn bộ nội dung diễn biến tại Đại hội và những vấn đề đã được các cổ đông thông qua kể cả các vấn đề còn bảo lưu tại Đại hội; tiếp nhận phiếu đóng góp ý kiến của các cổ đông; soạn thảo Nghị quyết về các vấn đề đã được thông qua tại Đại hội.</w:t>
      </w:r>
    </w:p>
    <w:p w14:paraId="3A952D5D">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8: Ban kiểm tra tư cách cổ đông</w:t>
      </w:r>
    </w:p>
    <w:p w14:paraId="1E561B74">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Ban Kiểm tra tư cách cổ đông gồm 02 người do Công ty cổ phần Vicem Vật liệu Xây dựng Đà Nẵng cử ra và có trách nhiệm:</w:t>
      </w:r>
    </w:p>
    <w:p w14:paraId="5F0154CA">
      <w:pPr>
        <w:numPr>
          <w:ilvl w:val="0"/>
          <w:numId w:val="5"/>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Giúp Chủ tọa Đại hội kiểm tra các điều kiện để tiến hành Đại hội;</w:t>
      </w:r>
    </w:p>
    <w:p w14:paraId="7802830A">
      <w:pPr>
        <w:numPr>
          <w:ilvl w:val="0"/>
          <w:numId w:val="5"/>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Kiểm tra tư cách của cổ đông dự họp;</w:t>
      </w:r>
    </w:p>
    <w:p w14:paraId="477BD737">
      <w:pPr>
        <w:numPr>
          <w:ilvl w:val="0"/>
          <w:numId w:val="5"/>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Phát phiếu biểu quyết cho Cổ đông trong danh sách dự họp trước giờ khai mạc;</w:t>
      </w:r>
    </w:p>
    <w:p w14:paraId="0BADAAFC">
      <w:pPr>
        <w:numPr>
          <w:ilvl w:val="0"/>
          <w:numId w:val="5"/>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 xml:space="preserve">Báo cáo trước Đại hội đồng cổ đông về điều kiện tiến hành họp Đại hội đồng Cổ đông. </w:t>
      </w:r>
    </w:p>
    <w:p w14:paraId="4510B5BD">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 xml:space="preserve">Điều 9: Ban kiểm phiếu </w:t>
      </w:r>
    </w:p>
    <w:p w14:paraId="3D2F8852">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Ban Kiểm phiếu do Đoàn Chủ tịch giới thiệu và được Đại hội biểu quyết tán thành. Ban Kiểm phiếu có trách nhiệm:</w:t>
      </w:r>
    </w:p>
    <w:p w14:paraId="2F254A4A">
      <w:pPr>
        <w:numPr>
          <w:ilvl w:val="0"/>
          <w:numId w:val="6"/>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Phổ biến thể lệ và các nguyên tắc biểu quyết;</w:t>
      </w:r>
    </w:p>
    <w:p w14:paraId="0A4A9CBC">
      <w:pPr>
        <w:numPr>
          <w:ilvl w:val="0"/>
          <w:numId w:val="6"/>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Tổ chức kiểm phiếu biểu quyết;</w:t>
      </w:r>
    </w:p>
    <w:p w14:paraId="4E4FE427">
      <w:pPr>
        <w:numPr>
          <w:ilvl w:val="0"/>
          <w:numId w:val="6"/>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Kiểm tra, giám sát việc biểu quyết của các cổ đông, đại diện cổ đông;</w:t>
      </w:r>
    </w:p>
    <w:p w14:paraId="73D58253">
      <w:pPr>
        <w:numPr>
          <w:ilvl w:val="0"/>
          <w:numId w:val="6"/>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Xác định kết quả biểu quyết của cổ đông về các vấn đề thông qua tại Đại hội, công bố kết quả biểu quyết;</w:t>
      </w:r>
    </w:p>
    <w:p w14:paraId="044B7B6D">
      <w:pPr>
        <w:numPr>
          <w:ilvl w:val="0"/>
          <w:numId w:val="6"/>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Giao kết quả kiểm phiếu biểu quyết cho Đoàn Chủ tịch hoặc Thư ký Đại hội.</w:t>
      </w:r>
    </w:p>
    <w:p w14:paraId="7F46B34B">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10: Các quyền của Cổ đông</w:t>
      </w:r>
    </w:p>
    <w:p w14:paraId="2FDC6ED0">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1. Cổ đông Công ty có quyền trực tiếp tham dự Đại hội hoặc ủy quyền bằng Giấy ủy quyền (theo mẫu do Ban tổ chức Đại hội quy định) cho 01 (một) người đại diện tham dự và phát biểu ý kiến đóng góp, biểu quyết các vấn đề trong nội dung chương trình Đại hội. Mỗi cổ đông hoặc đại diện cho các cổ đông khi đến tham dự Đại hội cần phải mang theo giấy tờ tùy thân gồm: CCCD (hoặc hộ chiếu), Giấy mời tham dự, Giấy ủy quyền tham dự Đại hội nộp cho Ban kiểm tra tư cách cổ đông và sẽ được nhận Phiếu biểu quyết và tham gia biểu quyết.</w:t>
      </w:r>
    </w:p>
    <w:p w14:paraId="21522006">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Cổ đông, đại diện cổ đông tới dự Đại hội muộn, được đăng ký và sau đó có quyền biểu quyết tại Đại hội ngay sau khi đăng ký. Chủ tọa Đại hội không có trách nhiệm dừng Đại hội để cho cổ đông đăng ký và hiệu lực của các đợt biếu quyết đã tiến hành sẽ không bị ảnh hưởng.</w:t>
      </w:r>
    </w:p>
    <w:p w14:paraId="7F938B2A">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2. Cổ đông được Ban tổ chức Đại hội thông báo công khai thông tin về Chương trình Đại hội đồng cổ đông, được phát tài liệu liên quan đến nội dung Đại hội và có trách nhiệm:</w:t>
      </w:r>
    </w:p>
    <w:p w14:paraId="0E0254EA">
      <w:pPr>
        <w:numPr>
          <w:ilvl w:val="0"/>
          <w:numId w:val="7"/>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Tuân thủ Nội quy Đại hội.</w:t>
      </w:r>
    </w:p>
    <w:p w14:paraId="055658DE">
      <w:pPr>
        <w:numPr>
          <w:ilvl w:val="0"/>
          <w:numId w:val="7"/>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Phải hoàn thành các thủ tục đăng ký tham dự Đại hội với Ban tổ chức.</w:t>
      </w:r>
    </w:p>
    <w:p w14:paraId="39E3E78A">
      <w:pPr>
        <w:numPr>
          <w:ilvl w:val="0"/>
          <w:numId w:val="7"/>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Thảo luận các nội dung báo cáo.</w:t>
      </w:r>
    </w:p>
    <w:p w14:paraId="5821F39E">
      <w:pPr>
        <w:numPr>
          <w:ilvl w:val="0"/>
          <w:numId w:val="7"/>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Biều quyết các vấn đề tại Đại hội.</w:t>
      </w:r>
    </w:p>
    <w:p w14:paraId="0E71C03F">
      <w:pPr>
        <w:numPr>
          <w:ilvl w:val="0"/>
          <w:numId w:val="7"/>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Chấp hành sự điều khiển của chủ tọa Đại hội.</w:t>
      </w:r>
    </w:p>
    <w:p w14:paraId="7BFF7120">
      <w:pPr>
        <w:spacing w:line="320" w:lineRule="atLeast"/>
        <w:jc w:val="center"/>
        <w:rPr>
          <w:rFonts w:ascii="Times New Roman" w:hAnsi="Times New Roman" w:eastAsia="Times New Roman"/>
          <w:b/>
          <w:color w:val="000000"/>
          <w:szCs w:val="28"/>
        </w:rPr>
      </w:pPr>
      <w:r>
        <w:rPr>
          <w:rFonts w:ascii="Times New Roman" w:hAnsi="Times New Roman" w:eastAsia="Times New Roman"/>
          <w:b/>
          <w:color w:val="000000"/>
          <w:szCs w:val="28"/>
        </w:rPr>
        <w:t>CHƯƠNG III: THẢO LUẬN, BIỂU QUYẾT VÀ BIÊN BẢN ĐẠI HỘI</w:t>
      </w:r>
    </w:p>
    <w:p w14:paraId="1AF75A29">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Điều 11: Thảo luận tại Đại hội</w:t>
      </w:r>
    </w:p>
    <w:p w14:paraId="00F08EE5">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Khi thảo luận các vấn đề trong chương trình Đại hội, cổ đông cần tuân thủ các quy định sau đây:</w:t>
      </w:r>
    </w:p>
    <w:p w14:paraId="598D1C20">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1. Nguyên tắc: Cổ đông tham dự Đại hội khi muốn phát biểu ý kiến thảo luận phải được sự đồng ý của Chủ tọa chấp thuận cho phát biểu.</w:t>
      </w:r>
    </w:p>
    <w:p w14:paraId="59EFFF56">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2. Cách thức phát biểu: Cổ đông phát biểu ngắn gọn và tập trung vào đúng những nội dung trọng tâm cần trao đổi, phù hợp với nội dung chương trình nghị sự của Đại hội đã được thông qua để đảm bảo đại hội được tiến hành đúng như chương trình nghị sự đã thông qua, nội dung không bị vi phạm pháp luật, liên quan đến vấn đề cá nhân hoặc vượt quá quyền hạn doanh nghiệp.</w:t>
      </w:r>
    </w:p>
    <w:p w14:paraId="7D53E924">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3. Chủ tọa sẽ sắp xếp cho cổ đông phát biểu theo thứ tự đăng ký, đồng thời giải đáp các thắc mắc của cổ đông. Các ý kiến đóng góp hoặc chất vấn sẽ được tập hợp cùng lúc và được giải đáp theo tuần tự và chỉ được tham gia đóng góp ý kiến trong phần thảo luận của Đại hội. Trường hợp nhiều cổ đông có ý kiến trùng lập với nhau thì Đoàn Chủ tịch sẽ chọn lọc và trả lời chung cho tất cả các cổ đông. Sau khi không còn ý kiến phát biểu của các cổ đông, Chủ tọa sẽ lần lượt trả lời ý kiến của từng cổ đông hoặc chỉ định người có trách nhiệm trong Ban điều hành Công ty trả lời các ý kiến này.</w:t>
      </w:r>
    </w:p>
    <w:p w14:paraId="4203E81D">
      <w:pPr>
        <w:spacing w:line="320" w:lineRule="atLeast"/>
        <w:ind w:left="720" w:hanging="11"/>
        <w:jc w:val="both"/>
        <w:rPr>
          <w:rFonts w:ascii="Times New Roman" w:hAnsi="Times New Roman" w:eastAsia="Times New Roman"/>
          <w:b/>
          <w:color w:val="000000"/>
          <w:szCs w:val="28"/>
        </w:rPr>
      </w:pPr>
      <w:r>
        <w:rPr>
          <w:rFonts w:ascii="Times New Roman" w:hAnsi="Times New Roman" w:eastAsia="Times New Roman"/>
          <w:b/>
          <w:color w:val="000000"/>
          <w:szCs w:val="28"/>
        </w:rPr>
        <w:t>Điều 12: Biểu quyết tại Đại hội</w:t>
      </w:r>
    </w:p>
    <w:p w14:paraId="38ABB48F">
      <w:pPr>
        <w:numPr>
          <w:ilvl w:val="0"/>
          <w:numId w:val="8"/>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Nguyên tắc biểu quyết :</w:t>
      </w:r>
    </w:p>
    <w:p w14:paraId="20BAB406">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 Tất cả các vấn đề trong chương trình nghị sự của Đại hội đều được thông qua bằng cách lấy ý kiến biểu quyết của tất cả các cổ đông bằng Thẻ biểu quyết theo số cổ phần sở hữu và đại diện.</w:t>
      </w:r>
    </w:p>
    <w:p w14:paraId="4A3477DE">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 Mỗi cổ đông được cấp 01 Thẻ biểu quyết (màu xanh) và 01 Phiếu biểu quyết (màu hồng) trong đó ghi tên cổ đông/đại diện được ủy quyền, số cổ phần có quyền biểu quyết (sở hữu và ủy quyền) của cổ đông và có đóng dấu treo của Công ty Cổ phần Vicem vật liệu xây dựng Đà Nẵng.</w:t>
      </w:r>
    </w:p>
    <w:p w14:paraId="6D3B539C">
      <w:pPr>
        <w:numPr>
          <w:ilvl w:val="0"/>
          <w:numId w:val="8"/>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Thể lệ biểu quyết:</w:t>
      </w:r>
    </w:p>
    <w:p w14:paraId="3235C956">
      <w:pPr>
        <w:spacing w:line="288" w:lineRule="auto"/>
        <w:ind w:right="142" w:firstLine="720"/>
        <w:jc w:val="both"/>
        <w:rPr>
          <w:rFonts w:ascii="Times New Roman" w:hAnsi="Times New Roman" w:eastAsia="Times New Roman"/>
          <w:color w:val="000000"/>
          <w:szCs w:val="28"/>
        </w:rPr>
      </w:pPr>
      <w:r>
        <w:rPr>
          <w:rFonts w:ascii="Times New Roman" w:hAnsi="Times New Roman" w:eastAsia="Times New Roman"/>
          <w:color w:val="000000"/>
          <w:szCs w:val="28"/>
        </w:rPr>
        <w:t>- Quý cổ đông sẽ giơ Thẻ biểu quyết (màu xanh) để xác nhận ý kiến theo yêu cầu của Người lấy ý kiến (Tán thành, Không tán thành, Không có ý kiến) về những vấn đề như Chương trình đại hội, quy chế đại hội, đoàn chủ tịch, thư ký, nghị quyết đại hội.</w:t>
      </w:r>
    </w:p>
    <w:p w14:paraId="404FC65E">
      <w:pPr>
        <w:spacing w:line="288" w:lineRule="auto"/>
        <w:ind w:right="142" w:firstLine="720"/>
        <w:jc w:val="both"/>
        <w:rPr>
          <w:rFonts w:ascii="Times New Roman" w:hAnsi="Times New Roman" w:eastAsia="Times New Roman"/>
          <w:color w:val="000000"/>
          <w:szCs w:val="28"/>
        </w:rPr>
      </w:pPr>
      <w:r>
        <w:rPr>
          <w:rFonts w:ascii="Times New Roman" w:hAnsi="Times New Roman" w:eastAsia="Times New Roman"/>
          <w:color w:val="000000"/>
          <w:szCs w:val="28"/>
        </w:rPr>
        <w:t>- Quý cổ đông sẽ đánh dấu vào một trong các ô sau (Tán thành, Không tán thành, Không có ý kiến) trong Phiếu biểu quyết (màu hồng) .</w:t>
      </w:r>
    </w:p>
    <w:p w14:paraId="6FA80670">
      <w:pPr>
        <w:numPr>
          <w:ilvl w:val="0"/>
          <w:numId w:val="8"/>
        </w:numPr>
        <w:spacing w:line="320" w:lineRule="atLeast"/>
        <w:jc w:val="both"/>
        <w:rPr>
          <w:rFonts w:ascii="Times New Roman" w:hAnsi="Times New Roman" w:eastAsia="Times New Roman"/>
          <w:color w:val="000000"/>
          <w:szCs w:val="28"/>
        </w:rPr>
      </w:pPr>
      <w:r>
        <w:rPr>
          <w:rFonts w:ascii="Times New Roman" w:hAnsi="Times New Roman" w:eastAsia="Times New Roman"/>
          <w:color w:val="000000"/>
          <w:szCs w:val="28"/>
        </w:rPr>
        <w:t>Thông qua quyết định của Đại hội đồng cổ đông</w:t>
      </w:r>
    </w:p>
    <w:p w14:paraId="42ED89A2">
      <w:pPr>
        <w:spacing w:line="320" w:lineRule="atLeast"/>
        <w:ind w:firstLine="709"/>
        <w:jc w:val="both"/>
        <w:rPr>
          <w:rFonts w:ascii="Times New Roman" w:hAnsi="Times New Roman" w:eastAsia="Times New Roman"/>
          <w:color w:val="000000"/>
          <w:szCs w:val="28"/>
        </w:rPr>
      </w:pPr>
      <w:r>
        <w:rPr>
          <w:rFonts w:ascii="Times New Roman" w:hAnsi="Times New Roman" w:eastAsia="Times New Roman"/>
          <w:color w:val="000000"/>
          <w:szCs w:val="28"/>
        </w:rPr>
        <w:t>Điều kiện để thông qua các quyết định của Đại hội đồng cổ đông thực hiện theo quy định tại Điều 21 Điều lệ tổ chức và hoạt động của Công ty.</w:t>
      </w:r>
    </w:p>
    <w:p w14:paraId="7F715FFE">
      <w:pPr>
        <w:spacing w:line="320" w:lineRule="atLeast"/>
        <w:ind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 xml:space="preserve">Điều 13: Biên bản Đại hội </w:t>
      </w:r>
    </w:p>
    <w:p w14:paraId="74585C96">
      <w:pPr>
        <w:spacing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Các nội dung tại Đại hội phải được Thư ký Đại hội ghi vào Biên bản Đại hội. Biên bản phải được đọc và thông qua trước khi bế mạc Đại hội.</w:t>
      </w:r>
    </w:p>
    <w:p w14:paraId="0D1DF5DE">
      <w:pPr>
        <w:spacing w:after="240"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 xml:space="preserve">Trên đây là toàn bộ Quy chế làm việc của Đại hội cổ đông thường niên năm 2026 Công ty Cổ phần Vicem Vật liệu Xây dựng Đà Nẵng. </w:t>
      </w:r>
    </w:p>
    <w:p w14:paraId="740A4C32">
      <w:pPr>
        <w:spacing w:after="240" w:line="320" w:lineRule="atLeast"/>
        <w:ind w:firstLine="720"/>
        <w:jc w:val="both"/>
        <w:rPr>
          <w:rFonts w:ascii="Times New Roman" w:hAnsi="Times New Roman" w:eastAsia="Times New Roman"/>
          <w:color w:val="000000"/>
          <w:szCs w:val="28"/>
        </w:rPr>
      </w:pPr>
      <w:r>
        <w:rPr>
          <w:rFonts w:ascii="Times New Roman" w:hAnsi="Times New Roman" w:eastAsia="Times New Roman"/>
          <w:color w:val="000000"/>
          <w:szCs w:val="28"/>
        </w:rPr>
        <w:t>Kính trình Đại hội xem xét thông qua!</w:t>
      </w:r>
    </w:p>
    <w:p w14:paraId="23C955FB">
      <w:pPr>
        <w:spacing w:before="0" w:after="0"/>
        <w:ind w:left="4321" w:firstLine="720"/>
        <w:rPr>
          <w:rFonts w:ascii="Times New Roman" w:hAnsi="Times New Roman" w:eastAsia="Times New Roman"/>
          <w:b/>
          <w:color w:val="000000"/>
          <w:szCs w:val="28"/>
        </w:rPr>
      </w:pPr>
      <w:r>
        <w:rPr>
          <w:rFonts w:ascii="Times New Roman" w:hAnsi="Times New Roman" w:eastAsia="Times New Roman"/>
          <w:b/>
          <w:color w:val="000000"/>
          <w:szCs w:val="28"/>
        </w:rPr>
        <w:t xml:space="preserve">      TM. HỘI ĐỒNG QUẢN TRỊ</w:t>
      </w:r>
    </w:p>
    <w:p w14:paraId="37237E1F">
      <w:pPr>
        <w:tabs>
          <w:tab w:val="left" w:pos="1635"/>
          <w:tab w:val="center" w:pos="2337"/>
        </w:tabs>
        <w:spacing w:before="0" w:after="0"/>
        <w:rPr>
          <w:rFonts w:ascii="Times New Roman" w:hAnsi="Times New Roman" w:eastAsia="Times New Roman"/>
          <w:b/>
          <w:color w:val="000000"/>
          <w:szCs w:val="28"/>
        </w:rPr>
      </w:pP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 xml:space="preserve">         CHỦ TỊCH</w:t>
      </w:r>
    </w:p>
    <w:p w14:paraId="5FB46280">
      <w:pPr>
        <w:spacing w:before="0" w:after="0"/>
        <w:rPr>
          <w:rFonts w:ascii="Times New Roman" w:hAnsi="Times New Roman" w:eastAsia="Times New Roman"/>
          <w:b/>
          <w:color w:val="000000"/>
          <w:szCs w:val="28"/>
        </w:rPr>
      </w:pP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 xml:space="preserve">        </w:t>
      </w:r>
    </w:p>
    <w:p w14:paraId="0700E07D">
      <w:pPr>
        <w:tabs>
          <w:tab w:val="left" w:pos="1635"/>
          <w:tab w:val="center" w:pos="2337"/>
        </w:tabs>
        <w:spacing w:before="0" w:after="0"/>
        <w:rPr>
          <w:rFonts w:ascii="Times New Roman" w:hAnsi="Times New Roman" w:eastAsia="Times New Roman"/>
          <w:b/>
          <w:color w:val="000000"/>
          <w:szCs w:val="28"/>
        </w:rPr>
      </w:pP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ab/>
      </w:r>
      <w:r>
        <w:rPr>
          <w:rFonts w:ascii="Times New Roman" w:hAnsi="Times New Roman" w:eastAsia="Times New Roman"/>
          <w:b/>
          <w:color w:val="000000"/>
          <w:szCs w:val="28"/>
        </w:rPr>
        <w:t xml:space="preserve">  </w:t>
      </w:r>
    </w:p>
    <w:p w14:paraId="40336529">
      <w:pPr>
        <w:tabs>
          <w:tab w:val="left" w:pos="1635"/>
          <w:tab w:val="center" w:pos="2337"/>
        </w:tabs>
        <w:rPr>
          <w:rFonts w:ascii="Times New Roman" w:hAnsi="Times New Roman" w:eastAsia="Times New Roman"/>
          <w:b/>
          <w:color w:val="000000"/>
          <w:szCs w:val="28"/>
        </w:rPr>
      </w:pPr>
      <w:r>
        <w:rPr>
          <w:rFonts w:ascii="Times New Roman" w:hAnsi="Times New Roman" w:eastAsia="Times New Roman"/>
          <w:b/>
          <w:color w:val="000000"/>
          <w:szCs w:val="28"/>
        </w:rPr>
        <w:t xml:space="preserve">     </w:t>
      </w:r>
    </w:p>
    <w:p w14:paraId="146BBC40">
      <w:pPr>
        <w:tabs>
          <w:tab w:val="left" w:pos="1635"/>
          <w:tab w:val="center" w:pos="2337"/>
        </w:tabs>
        <w:rPr>
          <w:rFonts w:ascii="Times New Roman" w:hAnsi="Times New Roman" w:eastAsia="Times New Roman"/>
          <w:b/>
          <w:color w:val="000000"/>
          <w:szCs w:val="28"/>
        </w:rPr>
      </w:pPr>
    </w:p>
    <w:p w14:paraId="275F30A1">
      <w:pPr>
        <w:spacing w:after="240" w:line="320" w:lineRule="atLeast"/>
        <w:ind w:left="5040" w:firstLine="720"/>
        <w:jc w:val="both"/>
        <w:rPr>
          <w:rFonts w:ascii="Times New Roman" w:hAnsi="Times New Roman" w:eastAsia="Times New Roman"/>
          <w:b/>
          <w:color w:val="000000"/>
          <w:szCs w:val="28"/>
        </w:rPr>
      </w:pPr>
      <w:r>
        <w:rPr>
          <w:rFonts w:ascii="Times New Roman" w:hAnsi="Times New Roman" w:eastAsia="Times New Roman"/>
          <w:b/>
          <w:color w:val="000000"/>
          <w:szCs w:val="28"/>
        </w:rPr>
        <w:t xml:space="preserve">     Nguyễn Văn Tân</w:t>
      </w:r>
    </w:p>
    <w:p w14:paraId="5A816033">
      <w:pPr>
        <w:spacing w:after="240" w:line="320" w:lineRule="atLeast"/>
        <w:ind w:firstLine="720"/>
        <w:jc w:val="both"/>
        <w:rPr>
          <w:rFonts w:ascii="Times New Roman" w:hAnsi="Times New Roman"/>
          <w:sz w:val="24"/>
          <w:szCs w:val="24"/>
        </w:rPr>
      </w:pPr>
    </w:p>
    <w:p w14:paraId="51B9E4AC">
      <w:pPr>
        <w:spacing w:after="240" w:line="320" w:lineRule="atLeast"/>
        <w:ind w:firstLine="720"/>
        <w:jc w:val="both"/>
        <w:rPr>
          <w:rFonts w:ascii="Times New Roman" w:hAnsi="Times New Roman"/>
          <w:sz w:val="24"/>
          <w:szCs w:val="24"/>
        </w:rPr>
      </w:pPr>
    </w:p>
    <w:p w14:paraId="24647FDD">
      <w:pPr>
        <w:spacing w:line="320" w:lineRule="atLeast"/>
        <w:ind w:left="720" w:hanging="360"/>
        <w:jc w:val="both"/>
        <w:rPr>
          <w:rFonts w:ascii="Times New Roman" w:hAnsi="Times New Roman" w:eastAsia="Times New Roman"/>
          <w:sz w:val="24"/>
          <w:szCs w:val="24"/>
          <w:lang w:val="fr-FR"/>
        </w:rPr>
      </w:pPr>
    </w:p>
    <w:sectPr>
      <w:headerReference r:id="rId4" w:type="default"/>
      <w:footerReference r:id="rId5" w:type="default"/>
      <w:pgSz w:w="11907" w:h="16840"/>
      <w:pgMar w:top="1134" w:right="850" w:bottom="993" w:left="1701" w:header="567" w:footer="567"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VnTime">
    <w:altName w:val="Fz Fantomen"/>
    <w:panose1 w:val="020B7200000000000000"/>
    <w:charset w:val="00"/>
    <w:family w:val="swiss"/>
    <w:pitch w:val="default"/>
    <w:sig w:usb0="00000003" w:usb1="00000000" w:usb2="00000000" w:usb3="00000000" w:csb0="00000001" w:csb1="00000000"/>
  </w:font>
  <w:font w:name="MS Mincho">
    <w:altName w:val="MS Gothic"/>
    <w:panose1 w:val="02020609040205080304"/>
    <w:charset w:val="80"/>
    <w:family w:val="roman"/>
    <w:pitch w:val="default"/>
    <w:sig w:usb0="00000000"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VNI-Palatin">
    <w:altName w:val="Fz Fantomen"/>
    <w:panose1 w:val="00000000000000000000"/>
    <w:charset w:val="00"/>
    <w:family w:val="auto"/>
    <w:pitch w:val="default"/>
    <w:sig w:usb0="00000003"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VnTimeH">
    <w:altName w:val="Fz Fantomen"/>
    <w:panose1 w:val="020B7200000000000000"/>
    <w:charset w:val="00"/>
    <w:family w:val="swiss"/>
    <w:pitch w:val="default"/>
    <w:sig w:usb0="00000003" w:usb1="00000000" w:usb2="00000000" w:usb3="00000000" w:csb0="00000001" w:csb1="00000000"/>
  </w:font>
  <w:font w:name="Fz Fantomen">
    <w:panose1 w:val="02000500000000000000"/>
    <w:charset w:val="00"/>
    <w:family w:val="auto"/>
    <w:pitch w:val="default"/>
    <w:sig w:usb0="8000002F" w:usb1="1000000A"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D1790">
    <w:pPr>
      <w:pStyle w:val="10"/>
      <w:jc w:val="right"/>
      <w:rPr>
        <w:rFonts w:ascii="Times New Roman" w:hAnsi="Times New Roman"/>
        <w:sz w:val="24"/>
        <w:szCs w:val="24"/>
      </w:rPr>
    </w:pPr>
  </w:p>
  <w:p w14:paraId="7F6FE8C1">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A8D8B">
    <w:pPr>
      <w:pStyle w:val="13"/>
      <w:spacing w:before="0" w:after="0"/>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Pr>
        <w:rFonts w:ascii="Times New Roman" w:hAnsi="Times New Roman"/>
        <w:sz w:val="26"/>
        <w:szCs w:val="26"/>
        <w:lang/>
      </w:rPr>
      <w:t>2</w:t>
    </w:r>
    <w:r>
      <w:rPr>
        <w:rFonts w:ascii="Times New Roman" w:hAnsi="Times New Roman"/>
        <w:sz w:val="26"/>
        <w:szCs w:val="26"/>
        <w:lang/>
      </w:rPr>
      <w:fldChar w:fldCharType="end"/>
    </w:r>
  </w:p>
  <w:p w14:paraId="72D8E312">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FB0AF2"/>
    <w:multiLevelType w:val="multilevel"/>
    <w:tmpl w:val="11FB0AF2"/>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128D4ED6"/>
    <w:multiLevelType w:val="multilevel"/>
    <w:tmpl w:val="128D4ED6"/>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19B7343F"/>
    <w:multiLevelType w:val="multilevel"/>
    <w:tmpl w:val="19B7343F"/>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C8B1CE8"/>
    <w:multiLevelType w:val="multilevel"/>
    <w:tmpl w:val="2C8B1CE8"/>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35717F0C"/>
    <w:multiLevelType w:val="multilevel"/>
    <w:tmpl w:val="35717F0C"/>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4E5136FB"/>
    <w:multiLevelType w:val="multilevel"/>
    <w:tmpl w:val="4E5136FB"/>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6ED53273"/>
    <w:multiLevelType w:val="multilevel"/>
    <w:tmpl w:val="6ED53273"/>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6F8811E2"/>
    <w:multiLevelType w:val="multilevel"/>
    <w:tmpl w:val="6F8811E2"/>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360"/>
  <w:drawingGridHorizontalSpacing w:val="110"/>
  <w:displayHorizontalDrawingGridEvery w:val="2"/>
  <w:displayVerticalDrawingGridEvery w:val="2"/>
  <w:characterSpacingControl w:val="doNotCompress"/>
  <w:footnotePr>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ef" w:val="59815-v3\HCMDMS\HCMHKN"/>
    <w:docVar w:name="Ref2" w:val="59815-v3\HCMHKN"/>
    <w:docVar w:name="WhichCity" w:val="Ho Chi Minh"/>
  </w:docVars>
  <w:rsids>
    <w:rsidRoot w:val="002B5A8F"/>
    <w:rsid w:val="000C561D"/>
    <w:rsid w:val="000F0C35"/>
    <w:rsid w:val="001E2B5C"/>
    <w:rsid w:val="002A2FA5"/>
    <w:rsid w:val="002B5A8F"/>
    <w:rsid w:val="003F5DF6"/>
    <w:rsid w:val="004E0903"/>
    <w:rsid w:val="00527C39"/>
    <w:rsid w:val="005B76FC"/>
    <w:rsid w:val="0069206C"/>
    <w:rsid w:val="00770246"/>
    <w:rsid w:val="00895D8A"/>
    <w:rsid w:val="009528EA"/>
    <w:rsid w:val="009806FD"/>
    <w:rsid w:val="00C83886"/>
    <w:rsid w:val="00D219B3"/>
    <w:rsid w:val="00E233A9"/>
    <w:rsid w:val="00E97A1A"/>
    <w:rsid w:val="4A0E47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pPr>
    <w:rPr>
      <w:rFonts w:ascii=".VnTime" w:hAnsi=".VnTime" w:eastAsia="MS Mincho"/>
      <w:sz w:val="28"/>
      <w:lang w:val="en-US" w:eastAsia="en-US" w:bidi="ar-SA"/>
    </w:rPr>
  </w:style>
  <w:style w:type="character" w:default="1" w:styleId="2">
    <w:name w:val="Default Paragraph Font"/>
    <w:unhideWhenUsed/>
    <w:uiPriority w:val="1"/>
  </w:style>
  <w:style w:type="table" w:default="1" w:styleId="3">
    <w:name w:val="Normal Table"/>
    <w:semiHidden/>
    <w:unhideWhenUsed/>
    <w:qFormat/>
    <w:uiPriority w:val="99"/>
    <w:tblPr>
      <w:tblStyle w:val="3"/>
      <w:tblCellMar>
        <w:top w:w="0" w:type="dxa"/>
        <w:left w:w="108" w:type="dxa"/>
        <w:bottom w:w="0" w:type="dxa"/>
        <w:right w:w="108" w:type="dxa"/>
      </w:tblCellMar>
    </w:tblPr>
    <w:trPr>
      <w:wBefore w:w="0" w:type="dxa"/>
    </w:trPr>
  </w:style>
  <w:style w:type="paragraph" w:styleId="4">
    <w:name w:val="Balloon Text"/>
    <w:basedOn w:val="1"/>
    <w:semiHidden/>
    <w:uiPriority w:val="0"/>
    <w:rPr>
      <w:rFonts w:ascii="Tahoma" w:hAnsi="Tahoma" w:cs="Tahoma"/>
      <w:sz w:val="16"/>
      <w:szCs w:val="16"/>
    </w:rPr>
  </w:style>
  <w:style w:type="paragraph" w:styleId="5">
    <w:name w:val="Body Text"/>
    <w:basedOn w:val="1"/>
    <w:link w:val="26"/>
    <w:semiHidden/>
    <w:unhideWhenUsed/>
    <w:uiPriority w:val="99"/>
    <w:pPr>
      <w:spacing w:after="120"/>
    </w:pPr>
  </w:style>
  <w:style w:type="paragraph" w:styleId="6">
    <w:name w:val="Body Text 2"/>
    <w:basedOn w:val="1"/>
    <w:link w:val="19"/>
    <w:semiHidden/>
    <w:unhideWhenUsed/>
    <w:uiPriority w:val="99"/>
    <w:pPr>
      <w:spacing w:before="100" w:beforeAutospacing="1" w:after="100" w:afterAutospacing="1"/>
    </w:pPr>
    <w:rPr>
      <w:rFonts w:ascii="Times New Roman" w:hAnsi="Times New Roman" w:eastAsia="Times New Roman"/>
      <w:sz w:val="24"/>
      <w:szCs w:val="24"/>
    </w:rPr>
  </w:style>
  <w:style w:type="paragraph" w:styleId="7">
    <w:name w:val="Body Text First Indent"/>
    <w:basedOn w:val="5"/>
    <w:link w:val="29"/>
    <w:unhideWhenUsed/>
    <w:uiPriority w:val="0"/>
    <w:pPr>
      <w:ind w:firstLine="210"/>
    </w:pPr>
    <w:rPr>
      <w:lang w:val="en-US" w:eastAsia="en-US"/>
    </w:rPr>
  </w:style>
  <w:style w:type="character" w:styleId="8">
    <w:name w:val="Emphasis"/>
    <w:qFormat/>
    <w:uiPriority w:val="20"/>
    <w:rPr>
      <w:rFonts w:cs="Times New Roman"/>
      <w:i/>
      <w:iCs/>
    </w:rPr>
  </w:style>
  <w:style w:type="character" w:styleId="9">
    <w:name w:val="FollowedHyperlink"/>
    <w:semiHidden/>
    <w:unhideWhenUsed/>
    <w:uiPriority w:val="99"/>
    <w:rPr>
      <w:color w:val="800080"/>
      <w:u w:val="single"/>
    </w:rPr>
  </w:style>
  <w:style w:type="paragraph" w:styleId="10">
    <w:name w:val="footer"/>
    <w:basedOn w:val="1"/>
    <w:link w:val="22"/>
    <w:unhideWhenUsed/>
    <w:uiPriority w:val="99"/>
    <w:pPr>
      <w:tabs>
        <w:tab w:val="center" w:pos="4680"/>
        <w:tab w:val="right" w:pos="9360"/>
      </w:tabs>
    </w:pPr>
  </w:style>
  <w:style w:type="character" w:styleId="11">
    <w:name w:val="footnote reference"/>
    <w:semiHidden/>
    <w:unhideWhenUsed/>
    <w:uiPriority w:val="99"/>
    <w:rPr>
      <w:vertAlign w:val="superscript"/>
    </w:rPr>
  </w:style>
  <w:style w:type="paragraph" w:styleId="12">
    <w:name w:val="footnote text"/>
    <w:basedOn w:val="1"/>
    <w:link w:val="28"/>
    <w:semiHidden/>
    <w:unhideWhenUsed/>
    <w:uiPriority w:val="99"/>
    <w:rPr>
      <w:sz w:val="20"/>
    </w:rPr>
  </w:style>
  <w:style w:type="paragraph" w:styleId="13">
    <w:name w:val="header"/>
    <w:basedOn w:val="1"/>
    <w:link w:val="21"/>
    <w:unhideWhenUsed/>
    <w:uiPriority w:val="99"/>
    <w:pPr>
      <w:tabs>
        <w:tab w:val="center" w:pos="4680"/>
        <w:tab w:val="right" w:pos="9360"/>
      </w:tabs>
    </w:pPr>
  </w:style>
  <w:style w:type="character" w:styleId="14">
    <w:name w:val="Hyperlink"/>
    <w:unhideWhenUsed/>
    <w:uiPriority w:val="99"/>
    <w:rPr>
      <w:rFonts w:cs="Times New Roman"/>
      <w:color w:val="0000FF"/>
      <w:u w:val="single"/>
    </w:rPr>
  </w:style>
  <w:style w:type="paragraph" w:styleId="15">
    <w:name w:val="Normal (Web)"/>
    <w:basedOn w:val="1"/>
    <w:semiHidden/>
    <w:unhideWhenUsed/>
    <w:uiPriority w:val="99"/>
    <w:pPr>
      <w:spacing w:before="100" w:beforeAutospacing="1" w:after="100" w:afterAutospacing="1"/>
    </w:pPr>
    <w:rPr>
      <w:rFonts w:ascii="Times New Roman" w:hAnsi="Times New Roman" w:eastAsia="Times New Roman"/>
      <w:sz w:val="24"/>
      <w:szCs w:val="24"/>
    </w:rPr>
  </w:style>
  <w:style w:type="character" w:styleId="16">
    <w:name w:val="Strong"/>
    <w:qFormat/>
    <w:uiPriority w:val="22"/>
    <w:rPr>
      <w:rFonts w:cs="Times New Roman"/>
      <w:b/>
      <w:bCs/>
    </w:rPr>
  </w:style>
  <w:style w:type="table" w:styleId="17">
    <w:name w:val="Table Grid"/>
    <w:basedOn w:val="3"/>
    <w:uiPriority w:val="59"/>
    <w:tblPr>
      <w:tblStyle w:val="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8">
    <w:name w:val="Title"/>
    <w:basedOn w:val="1"/>
    <w:link w:val="30"/>
    <w:qFormat/>
    <w:uiPriority w:val="0"/>
    <w:pPr>
      <w:spacing w:before="0" w:after="0"/>
      <w:jc w:val="center"/>
    </w:pPr>
    <w:rPr>
      <w:rFonts w:ascii=".VnTimeH" w:hAnsi=".VnTimeH" w:eastAsia="Times New Roman"/>
      <w:b/>
    </w:rPr>
  </w:style>
  <w:style w:type="character" w:customStyle="1" w:styleId="19">
    <w:name w:val="Body Text 2 Char"/>
    <w:link w:val="6"/>
    <w:semiHidden/>
    <w:locked/>
    <w:uiPriority w:val="99"/>
    <w:rPr>
      <w:rFonts w:ascii="Times New Roman" w:hAnsi="Times New Roman" w:cs="Times New Roman"/>
      <w:sz w:val="24"/>
      <w:szCs w:val="24"/>
    </w:rPr>
  </w:style>
  <w:style w:type="paragraph" w:customStyle="1" w:styleId="20">
    <w:name w:val="Colorful List - Accent 11"/>
    <w:basedOn w:val="1"/>
    <w:qFormat/>
    <w:uiPriority w:val="34"/>
    <w:pPr>
      <w:ind w:left="720"/>
      <w:contextualSpacing/>
    </w:pPr>
  </w:style>
  <w:style w:type="character" w:customStyle="1" w:styleId="21">
    <w:name w:val="Header Char"/>
    <w:link w:val="13"/>
    <w:uiPriority w:val="99"/>
    <w:rPr>
      <w:rFonts w:ascii=".VnTime" w:hAnsi=".VnTime" w:eastAsia="MS Mincho"/>
      <w:sz w:val="28"/>
    </w:rPr>
  </w:style>
  <w:style w:type="character" w:customStyle="1" w:styleId="22">
    <w:name w:val="Footer Char"/>
    <w:link w:val="10"/>
    <w:uiPriority w:val="99"/>
    <w:rPr>
      <w:rFonts w:ascii=".VnTime" w:hAnsi=".VnTime" w:eastAsia="MS Mincho"/>
      <w:sz w:val="28"/>
    </w:rPr>
  </w:style>
  <w:style w:type="paragraph" w:customStyle="1" w:styleId="23">
    <w:name w:val="Default"/>
    <w:uiPriority w:val="0"/>
    <w:pPr>
      <w:autoSpaceDE w:val="0"/>
      <w:autoSpaceDN w:val="0"/>
      <w:adjustRightInd w:val="0"/>
    </w:pPr>
    <w:rPr>
      <w:rFonts w:ascii="Times New Roman" w:hAnsi="Times New Roman"/>
      <w:color w:val="000000"/>
      <w:sz w:val="24"/>
      <w:szCs w:val="24"/>
      <w:lang w:val="en-US" w:eastAsia="en-US" w:bidi="ar-SA"/>
    </w:rPr>
  </w:style>
  <w:style w:type="paragraph" w:customStyle="1" w:styleId="24">
    <w:name w:val="dieu"/>
    <w:basedOn w:val="1"/>
    <w:link w:val="25"/>
    <w:uiPriority w:val="0"/>
    <w:pPr>
      <w:spacing w:before="0" w:after="0"/>
    </w:pPr>
    <w:rPr>
      <w:rFonts w:ascii="VNI-Palatin" w:hAnsi="VNI-Palatin" w:eastAsia="Times New Roman"/>
      <w:sz w:val="24"/>
      <w:szCs w:val="24"/>
    </w:rPr>
  </w:style>
  <w:style w:type="character" w:customStyle="1" w:styleId="25">
    <w:name w:val="dieu Char"/>
    <w:link w:val="24"/>
    <w:uiPriority w:val="0"/>
    <w:rPr>
      <w:rFonts w:ascii="VNI-Palatin" w:hAnsi="VNI-Palatin"/>
      <w:sz w:val="24"/>
      <w:szCs w:val="24"/>
    </w:rPr>
  </w:style>
  <w:style w:type="character" w:customStyle="1" w:styleId="26">
    <w:name w:val="Body Text Char"/>
    <w:link w:val="5"/>
    <w:semiHidden/>
    <w:uiPriority w:val="99"/>
    <w:rPr>
      <w:rFonts w:ascii=".VnTime" w:hAnsi=".VnTime" w:eastAsia="MS Mincho"/>
      <w:sz w:val="28"/>
    </w:rPr>
  </w:style>
  <w:style w:type="paragraph" w:customStyle="1" w:styleId="27">
    <w:name w:val=" Char Char Char Char"/>
    <w:basedOn w:val="1"/>
    <w:uiPriority w:val="0"/>
    <w:pPr>
      <w:spacing w:before="0" w:after="160" w:line="240" w:lineRule="exact"/>
    </w:pPr>
    <w:rPr>
      <w:rFonts w:ascii="Verdana" w:hAnsi="Verdana" w:eastAsia="Times New Roman"/>
      <w:sz w:val="20"/>
      <w:lang w:val="en-GB"/>
    </w:rPr>
  </w:style>
  <w:style w:type="character" w:customStyle="1" w:styleId="28">
    <w:name w:val="Footnote Text Char"/>
    <w:link w:val="12"/>
    <w:semiHidden/>
    <w:uiPriority w:val="99"/>
    <w:rPr>
      <w:rFonts w:ascii=".VnTime" w:hAnsi=".VnTime" w:eastAsia="MS Mincho"/>
    </w:rPr>
  </w:style>
  <w:style w:type="character" w:customStyle="1" w:styleId="29">
    <w:name w:val="Body Text First Indent Char"/>
    <w:basedOn w:val="26"/>
    <w:link w:val="7"/>
    <w:uiPriority w:val="0"/>
  </w:style>
  <w:style w:type="character" w:customStyle="1" w:styleId="30">
    <w:name w:val="Title Char"/>
    <w:link w:val="18"/>
    <w:uiPriority w:val="0"/>
    <w:rPr>
      <w:rFonts w:ascii=".VnTimeH" w:hAnsi=".VnTimeH"/>
      <w:b/>
      <w:sz w:val="28"/>
    </w:rPr>
  </w:style>
  <w:style w:type="table" w:customStyle="1" w:styleId="31">
    <w:name w:val="Table Grid1"/>
    <w:basedOn w:val="3"/>
    <w:uiPriority w:val="0"/>
    <w:rPr>
      <w:rFonts w:ascii="Times New Roman" w:hAnsi="Times New Roman"/>
      <w:sz w:val="24"/>
      <w:szCs w:val="24"/>
    </w:rPr>
    <w:tblPr>
      <w:tblStyle w:val="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2314</Words>
  <Characters>7982</Characters>
  <Lines>73</Lines>
  <Paragraphs>20</Paragraphs>
  <TotalTime>0</TotalTime>
  <ScaleCrop>false</ScaleCrop>
  <LinksUpToDate>false</LinksUpToDate>
  <CharactersWithSpaces>10275</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2019-03-29T06:59:00Z</dcterms:created>
  <dc:creator>Tran Minh Tien</dc:creator>
  <cp:keywords> </cp:keywords>
  <cp:lastModifiedBy>PC</cp:lastModifiedBy>
  <cp:lastPrinted>2025-03-12T07:48:00Z</cp:lastPrinted>
  <dcterms:modified xsi:type="dcterms:W3CDTF">2026-03-26T07:00:56Z</dcterms:modified>
  <dc:subject> </dc:subject>
  <dc:title> </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ABAAVOAfoSrQoyxtxDACAKD8CfFm570RDsEhWDuFJ/49KStzwHpuAWxhe+9vKJYfgZnv</vt:lpwstr>
  </property>
  <property fmtid="{D5CDD505-2E9C-101B-9397-08002B2CF9AE}" pid="3" name="MAIL_MSG_ID2">
    <vt:lpwstr>61hiAy8hZqpNiNYSiHgleETNlhGIUGrzewcaeiCH5tCE5nhcnCGyPkvap2V
4zzt7EKeeIk8ruua3HCtAH9dpXPdnW2Z7yvLNw==</vt:lpwstr>
  </property>
  <property fmtid="{D5CDD505-2E9C-101B-9397-08002B2CF9AE}" pid="4" name="RESPONSE_SENDER_NAME">
    <vt:lpwstr>gAAAdya76B99d4hLGUR1rQ+8TxTv0GGEPdix</vt:lpwstr>
  </property>
  <property fmtid="{D5CDD505-2E9C-101B-9397-08002B2CF9AE}" pid="5" name="EMAIL_OWNER_ADDRESS">
    <vt:lpwstr>4AAA9DNYQidmug5HPKSZELhW3bzPdhA5LY+ff8im6UbAjRNklCtPRO1/Og==</vt:lpwstr>
  </property>
  <property fmtid="{D5CDD505-2E9C-101B-9397-08002B2CF9AE}" pid="6" name="KSOProductBuildVer">
    <vt:lpwstr>1033-12.1.0.25830</vt:lpwstr>
  </property>
  <property fmtid="{D5CDD505-2E9C-101B-9397-08002B2CF9AE}" pid="7" name="ICV">
    <vt:lpwstr>EA8901C6648C4EFFACED58414916CCAA_13</vt:lpwstr>
  </property>
</Properties>
</file>